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AEC" w:rsidRPr="00385B8D" w:rsidRDefault="00291AEC" w:rsidP="00DB7680">
      <w:pPr>
        <w:keepNext/>
        <w:spacing w:after="0" w:line="240" w:lineRule="auto"/>
        <w:jc w:val="center"/>
        <w:outlineLvl w:val="0"/>
        <w:rPr>
          <w:rFonts w:ascii="Times New Roman" w:hAnsi="Times New Roman"/>
          <w:b/>
          <w:sz w:val="24"/>
          <w:szCs w:val="20"/>
          <w:lang w:val="ro-RO"/>
        </w:rPr>
      </w:pPr>
      <w:r w:rsidRPr="00385B8D">
        <w:rPr>
          <w:rFonts w:ascii="Times New Roman" w:hAnsi="Times New Roman"/>
          <w:b/>
          <w:sz w:val="24"/>
          <w:szCs w:val="20"/>
          <w:lang w:val="ro-RO"/>
        </w:rPr>
        <w:t>R O M Â N I A</w:t>
      </w:r>
    </w:p>
    <w:p w:rsidR="00291AEC" w:rsidRDefault="00291AEC" w:rsidP="00DB7680">
      <w:pPr>
        <w:spacing w:after="0" w:line="240" w:lineRule="auto"/>
        <w:jc w:val="center"/>
        <w:rPr>
          <w:rFonts w:ascii="Times New Roman" w:hAnsi="Times New Roman"/>
          <w:b/>
          <w:sz w:val="24"/>
          <w:szCs w:val="20"/>
          <w:lang w:val="ro-RO" w:eastAsia="ro-RO"/>
        </w:rPr>
      </w:pPr>
      <w:r w:rsidRPr="00385B8D">
        <w:rPr>
          <w:rFonts w:ascii="Times New Roman" w:hAnsi="Times New Roman"/>
          <w:b/>
          <w:sz w:val="24"/>
          <w:szCs w:val="20"/>
          <w:lang w:val="ro-RO" w:eastAsia="ro-RO"/>
        </w:rPr>
        <w:t xml:space="preserve">JUDEŢUL </w:t>
      </w:r>
      <w:r>
        <w:rPr>
          <w:rFonts w:ascii="Times New Roman" w:hAnsi="Times New Roman"/>
          <w:b/>
          <w:sz w:val="24"/>
          <w:szCs w:val="20"/>
          <w:lang w:val="ro-RO" w:eastAsia="ro-RO"/>
        </w:rPr>
        <w:t>ALBA</w:t>
      </w:r>
    </w:p>
    <w:p w:rsidR="00291AEC" w:rsidRPr="00385B8D" w:rsidRDefault="00291AEC" w:rsidP="00DB7680">
      <w:pPr>
        <w:spacing w:after="0" w:line="240" w:lineRule="auto"/>
        <w:jc w:val="center"/>
        <w:rPr>
          <w:rFonts w:ascii="Times New Roman" w:hAnsi="Times New Roman"/>
          <w:b/>
          <w:sz w:val="24"/>
          <w:szCs w:val="20"/>
          <w:lang w:val="ro-RO"/>
        </w:rPr>
      </w:pPr>
      <w:r>
        <w:rPr>
          <w:rFonts w:ascii="Times New Roman" w:hAnsi="Times New Roman"/>
          <w:b/>
          <w:sz w:val="24"/>
          <w:szCs w:val="20"/>
          <w:lang w:val="ro-RO" w:eastAsia="ro-RO"/>
        </w:rPr>
        <w:t>COMUNA  RIMET</w:t>
      </w:r>
    </w:p>
    <w:p w:rsidR="00291AEC" w:rsidRDefault="00291AEC" w:rsidP="00DB7680">
      <w:pPr>
        <w:spacing w:after="0" w:line="240" w:lineRule="auto"/>
        <w:rPr>
          <w:rFonts w:ascii="Times New Roman" w:hAnsi="Times New Roman"/>
          <w:b/>
          <w:sz w:val="24"/>
          <w:szCs w:val="20"/>
          <w:lang w:val="ro-RO" w:eastAsia="ro-RO"/>
        </w:rPr>
      </w:pPr>
    </w:p>
    <w:p w:rsidR="00291AEC" w:rsidRPr="00385B8D" w:rsidRDefault="00291AEC" w:rsidP="00DB7680">
      <w:pPr>
        <w:spacing w:after="0" w:line="240" w:lineRule="auto"/>
        <w:rPr>
          <w:rFonts w:ascii="Times New Roman" w:hAnsi="Times New Roman"/>
          <w:sz w:val="28"/>
          <w:szCs w:val="20"/>
          <w:lang w:val="ro-RO" w:eastAsia="ro-RO"/>
        </w:rPr>
      </w:pPr>
      <w:r w:rsidRPr="00385B8D">
        <w:rPr>
          <w:rFonts w:ascii="Times New Roman" w:hAnsi="Times New Roman"/>
          <w:b/>
          <w:sz w:val="24"/>
          <w:szCs w:val="20"/>
          <w:lang w:val="ro-RO" w:eastAsia="ro-RO"/>
        </w:rPr>
        <w:t>Nr.</w:t>
      </w:r>
    </w:p>
    <w:p w:rsidR="00291AEC" w:rsidRPr="00385B8D" w:rsidRDefault="00291AEC" w:rsidP="000B392B">
      <w:pPr>
        <w:spacing w:after="0" w:line="240" w:lineRule="auto"/>
        <w:rPr>
          <w:rFonts w:ascii="Times New Roman" w:hAnsi="Times New Roman"/>
          <w:b/>
          <w:bCs/>
          <w:sz w:val="24"/>
          <w:szCs w:val="20"/>
          <w:lang w:val="ro-RO" w:eastAsia="ro-RO"/>
        </w:rPr>
      </w:pPr>
      <w:r w:rsidRPr="00385B8D">
        <w:rPr>
          <w:rFonts w:ascii="Times New Roman" w:hAnsi="Times New Roman"/>
          <w:sz w:val="28"/>
          <w:szCs w:val="20"/>
          <w:lang w:val="ro-RO" w:eastAsia="ro-RO"/>
        </w:rPr>
        <w:tab/>
      </w:r>
      <w:r w:rsidRPr="00385B8D">
        <w:rPr>
          <w:rFonts w:ascii="Times New Roman" w:hAnsi="Times New Roman"/>
          <w:sz w:val="28"/>
          <w:szCs w:val="20"/>
          <w:lang w:val="ro-RO" w:eastAsia="ro-RO"/>
        </w:rPr>
        <w:tab/>
      </w:r>
      <w:r w:rsidRPr="00385B8D">
        <w:rPr>
          <w:rFonts w:ascii="Times New Roman" w:hAnsi="Times New Roman"/>
          <w:sz w:val="28"/>
          <w:szCs w:val="20"/>
          <w:lang w:val="ro-RO" w:eastAsia="ro-RO"/>
        </w:rPr>
        <w:tab/>
      </w:r>
      <w:r w:rsidRPr="00385B8D">
        <w:rPr>
          <w:rFonts w:ascii="Times New Roman" w:hAnsi="Times New Roman"/>
          <w:sz w:val="28"/>
          <w:szCs w:val="20"/>
          <w:lang w:val="ro-RO" w:eastAsia="ro-RO"/>
        </w:rPr>
        <w:tab/>
      </w:r>
      <w:r w:rsidRPr="00385B8D">
        <w:rPr>
          <w:rFonts w:ascii="Times New Roman" w:hAnsi="Times New Roman"/>
          <w:sz w:val="28"/>
          <w:szCs w:val="20"/>
          <w:lang w:val="ro-RO" w:eastAsia="ro-RO"/>
        </w:rPr>
        <w:tab/>
      </w:r>
      <w:r w:rsidRPr="00385B8D">
        <w:rPr>
          <w:rFonts w:ascii="Times New Roman" w:hAnsi="Times New Roman"/>
          <w:sz w:val="28"/>
          <w:szCs w:val="20"/>
          <w:lang w:val="ro-RO" w:eastAsia="ro-RO"/>
        </w:rPr>
        <w:tab/>
      </w:r>
      <w:r w:rsidRPr="00385B8D">
        <w:rPr>
          <w:rFonts w:ascii="Times New Roman" w:hAnsi="Times New Roman"/>
          <w:sz w:val="28"/>
          <w:szCs w:val="20"/>
          <w:lang w:val="ro-RO" w:eastAsia="ro-RO"/>
        </w:rPr>
        <w:tab/>
      </w:r>
      <w:r w:rsidRPr="00385B8D">
        <w:rPr>
          <w:rFonts w:ascii="Times New Roman" w:hAnsi="Times New Roman"/>
          <w:sz w:val="28"/>
          <w:szCs w:val="20"/>
          <w:lang w:val="ro-RO" w:eastAsia="ro-RO"/>
        </w:rPr>
        <w:tab/>
      </w:r>
      <w:r w:rsidRPr="00385B8D">
        <w:rPr>
          <w:rFonts w:ascii="Times New Roman" w:hAnsi="Times New Roman"/>
          <w:sz w:val="28"/>
          <w:szCs w:val="20"/>
          <w:lang w:val="ro-RO" w:eastAsia="ro-RO"/>
        </w:rPr>
        <w:tab/>
      </w:r>
    </w:p>
    <w:p w:rsidR="00291AEC" w:rsidRPr="00385B8D" w:rsidRDefault="00291AEC" w:rsidP="00385B8D">
      <w:pPr>
        <w:spacing w:after="0" w:line="240" w:lineRule="auto"/>
        <w:rPr>
          <w:rFonts w:ascii="Times New Roman" w:hAnsi="Times New Roman"/>
          <w:sz w:val="24"/>
          <w:szCs w:val="20"/>
          <w:lang w:val="ro-RO" w:eastAsia="ro-RO"/>
        </w:rPr>
      </w:pPr>
    </w:p>
    <w:p w:rsidR="00291AEC" w:rsidRPr="00385B8D" w:rsidRDefault="00291AEC" w:rsidP="00385B8D">
      <w:pPr>
        <w:spacing w:after="0" w:line="240" w:lineRule="auto"/>
        <w:rPr>
          <w:rFonts w:ascii="Times New Roman" w:hAnsi="Times New Roman"/>
          <w:sz w:val="24"/>
          <w:szCs w:val="20"/>
          <w:lang w:val="ro-RO" w:eastAsia="ro-RO"/>
        </w:rPr>
      </w:pPr>
    </w:p>
    <w:p w:rsidR="00291AEC" w:rsidRPr="00385B8D" w:rsidRDefault="00291AEC" w:rsidP="00385B8D">
      <w:pPr>
        <w:spacing w:after="0" w:line="240" w:lineRule="auto"/>
        <w:rPr>
          <w:rFonts w:ascii="Times New Roman" w:hAnsi="Times New Roman"/>
          <w:sz w:val="24"/>
          <w:szCs w:val="20"/>
          <w:lang w:val="ro-RO" w:eastAsia="ro-RO"/>
        </w:rPr>
      </w:pPr>
    </w:p>
    <w:p w:rsidR="00291AEC" w:rsidRPr="00385B8D" w:rsidRDefault="00291AEC" w:rsidP="00385B8D">
      <w:pPr>
        <w:spacing w:after="0" w:line="240" w:lineRule="auto"/>
        <w:rPr>
          <w:rFonts w:ascii="Times New Roman" w:hAnsi="Times New Roman"/>
          <w:sz w:val="24"/>
          <w:szCs w:val="20"/>
          <w:lang w:val="ro-RO" w:eastAsia="ro-RO"/>
        </w:rPr>
      </w:pPr>
    </w:p>
    <w:p w:rsidR="00291AEC" w:rsidRPr="00385B8D" w:rsidRDefault="00291AEC" w:rsidP="00385B8D">
      <w:pPr>
        <w:keepNext/>
        <w:spacing w:after="0" w:line="240" w:lineRule="auto"/>
        <w:jc w:val="center"/>
        <w:outlineLvl w:val="1"/>
        <w:rPr>
          <w:rFonts w:ascii="Times New Roman" w:hAnsi="Times New Roman"/>
          <w:b/>
          <w:sz w:val="28"/>
          <w:szCs w:val="28"/>
          <w:u w:val="single"/>
          <w:lang w:val="ro-RO"/>
        </w:rPr>
      </w:pPr>
      <w:r w:rsidRPr="00385B8D">
        <w:rPr>
          <w:rFonts w:ascii="Times New Roman" w:hAnsi="Times New Roman"/>
          <w:b/>
          <w:sz w:val="28"/>
          <w:szCs w:val="28"/>
          <w:u w:val="single"/>
          <w:lang w:val="ro-RO"/>
        </w:rPr>
        <w:t>R A P O R T</w:t>
      </w:r>
    </w:p>
    <w:p w:rsidR="00291AEC" w:rsidRPr="00385B8D" w:rsidRDefault="00291AEC" w:rsidP="00385B8D">
      <w:pPr>
        <w:spacing w:after="0" w:line="240" w:lineRule="auto"/>
        <w:rPr>
          <w:rFonts w:ascii="Times New Roman" w:hAnsi="Times New Roman"/>
          <w:sz w:val="6"/>
          <w:szCs w:val="20"/>
          <w:lang w:val="ro-RO" w:eastAsia="ro-RO"/>
        </w:rPr>
      </w:pPr>
    </w:p>
    <w:p w:rsidR="00291AEC" w:rsidRPr="00385B8D" w:rsidRDefault="00291AEC" w:rsidP="00385B8D">
      <w:pPr>
        <w:spacing w:after="0" w:line="240" w:lineRule="auto"/>
        <w:jc w:val="center"/>
        <w:rPr>
          <w:rFonts w:ascii="Times New Roman" w:hAnsi="Times New Roman"/>
          <w:b/>
          <w:i/>
          <w:sz w:val="24"/>
          <w:szCs w:val="20"/>
          <w:lang w:val="ro-RO" w:eastAsia="ro-RO"/>
        </w:rPr>
      </w:pPr>
      <w:r w:rsidRPr="00385B8D">
        <w:rPr>
          <w:rFonts w:ascii="Times New Roman" w:hAnsi="Times New Roman"/>
          <w:b/>
          <w:bCs/>
          <w:i/>
          <w:iCs/>
          <w:sz w:val="24"/>
          <w:szCs w:val="20"/>
          <w:lang w:val="ro-RO" w:eastAsia="ro-RO"/>
        </w:rPr>
        <w:t xml:space="preserve">la proiectul de hotărâre privind stabilirea </w:t>
      </w:r>
      <w:r w:rsidRPr="00385B8D">
        <w:rPr>
          <w:rFonts w:ascii="Times New Roman" w:hAnsi="Times New Roman"/>
          <w:b/>
          <w:i/>
          <w:sz w:val="24"/>
          <w:szCs w:val="20"/>
          <w:lang w:val="ro-RO" w:eastAsia="ro-RO"/>
        </w:rPr>
        <w:t xml:space="preserve">nivelurilor impozitelor </w:t>
      </w:r>
    </w:p>
    <w:p w:rsidR="00291AEC" w:rsidRPr="00385B8D" w:rsidRDefault="00291AEC" w:rsidP="00385B8D">
      <w:pPr>
        <w:spacing w:after="0" w:line="240" w:lineRule="auto"/>
        <w:jc w:val="center"/>
        <w:rPr>
          <w:rFonts w:ascii="Times New Roman" w:hAnsi="Times New Roman"/>
          <w:i/>
          <w:sz w:val="24"/>
          <w:szCs w:val="20"/>
          <w:lang w:val="ro-RO" w:eastAsia="ro-RO"/>
        </w:rPr>
      </w:pPr>
      <w:r w:rsidRPr="00385B8D">
        <w:rPr>
          <w:rFonts w:ascii="Times New Roman" w:hAnsi="Times New Roman"/>
          <w:b/>
          <w:i/>
          <w:sz w:val="24"/>
          <w:szCs w:val="20"/>
          <w:lang w:val="ro-RO" w:eastAsia="ro-RO"/>
        </w:rPr>
        <w:t>şi taxelor locale  pentru  anul fiscal 20</w:t>
      </w:r>
      <w:r>
        <w:rPr>
          <w:rFonts w:ascii="Times New Roman" w:hAnsi="Times New Roman"/>
          <w:b/>
          <w:i/>
          <w:sz w:val="24"/>
          <w:szCs w:val="20"/>
          <w:lang w:val="ro-RO" w:eastAsia="ro-RO"/>
        </w:rPr>
        <w:t>22</w:t>
      </w:r>
    </w:p>
    <w:p w:rsidR="00291AEC" w:rsidRPr="00385B8D" w:rsidRDefault="00291AEC" w:rsidP="00385B8D">
      <w:pPr>
        <w:spacing w:after="0" w:line="240" w:lineRule="auto"/>
        <w:jc w:val="center"/>
        <w:rPr>
          <w:rFonts w:ascii="Times New Roman" w:hAnsi="Times New Roman"/>
          <w:sz w:val="32"/>
          <w:szCs w:val="32"/>
          <w:lang w:val="ro-RO"/>
        </w:rPr>
      </w:pPr>
    </w:p>
    <w:p w:rsidR="00291AEC" w:rsidRPr="00385B8D" w:rsidRDefault="00291AEC" w:rsidP="00385B8D">
      <w:pPr>
        <w:spacing w:after="0" w:line="240" w:lineRule="auto"/>
        <w:rPr>
          <w:rFonts w:ascii="Times New Roman" w:hAnsi="Times New Roman"/>
          <w:b/>
          <w:sz w:val="28"/>
          <w:szCs w:val="20"/>
          <w:lang w:val="ro-RO" w:eastAsia="ro-RO"/>
        </w:rPr>
      </w:pPr>
    </w:p>
    <w:p w:rsidR="00291AEC" w:rsidRPr="00385B8D" w:rsidRDefault="00291AEC" w:rsidP="00385B8D">
      <w:pPr>
        <w:spacing w:after="0" w:line="240" w:lineRule="auto"/>
        <w:ind w:firstLine="1440"/>
        <w:jc w:val="both"/>
        <w:rPr>
          <w:rFonts w:ascii="Times New Roman" w:hAnsi="Times New Roman"/>
          <w:sz w:val="28"/>
          <w:szCs w:val="28"/>
          <w:lang w:val="ro-RO"/>
        </w:rPr>
      </w:pPr>
      <w:r w:rsidRPr="00385B8D">
        <w:rPr>
          <w:rFonts w:ascii="Times New Roman" w:hAnsi="Times New Roman"/>
          <w:sz w:val="28"/>
          <w:szCs w:val="28"/>
          <w:lang w:val="ro-RO"/>
        </w:rPr>
        <w:t>Potrivit prevederilor art.36 alin.(4) lit.c) din Legea nr.215/2001 privind administraţia publică locală, ale art.27 și 30 din Legea nr.273/2006 privind finanţele publice locale şi ale Legii nr.227/2015 privind Codul fiscal, consiliile locale adoptă hotărâri prin care stabilesc nivelurile acelor impozite şi taxe locale care sunt stabilite în cotă fixă, între limite, precum și în cotă procentuală, precum taxe speciale pentru funcţionarea unor servicii publice locale, create în interesul persoanelor fizice şi juridice.</w:t>
      </w:r>
    </w:p>
    <w:p w:rsidR="00291AEC" w:rsidRPr="00385B8D" w:rsidRDefault="00291AEC" w:rsidP="00385B8D">
      <w:pPr>
        <w:spacing w:after="0" w:line="240" w:lineRule="auto"/>
        <w:ind w:firstLine="1440"/>
        <w:jc w:val="both"/>
        <w:rPr>
          <w:rFonts w:ascii="Times New Roman" w:hAnsi="Times New Roman"/>
          <w:sz w:val="28"/>
          <w:szCs w:val="28"/>
          <w:lang w:val="ro-RO"/>
        </w:rPr>
      </w:pPr>
      <w:r w:rsidRPr="00385B8D">
        <w:rPr>
          <w:rFonts w:ascii="Times New Roman" w:hAnsi="Times New Roman"/>
          <w:sz w:val="28"/>
          <w:szCs w:val="28"/>
          <w:lang w:val="ro-RO"/>
        </w:rPr>
        <w:t>În Titlul IX din Legea nr.227/2015 privind Codul fiscal, cu modificările și completările ulterioare, sunt stabilite</w:t>
      </w:r>
      <w:r w:rsidRPr="00385B8D">
        <w:rPr>
          <w:rFonts w:ascii="Times New Roman" w:hAnsi="Times New Roman"/>
          <w:bCs/>
          <w:sz w:val="28"/>
          <w:szCs w:val="20"/>
          <w:lang w:val="ro-RO"/>
        </w:rPr>
        <w:t xml:space="preserve"> nivelurile pentru impozitele şi taxele locale. </w:t>
      </w:r>
    </w:p>
    <w:p w:rsidR="00291AEC" w:rsidRPr="00385B8D" w:rsidRDefault="00291AEC" w:rsidP="00385B8D">
      <w:pPr>
        <w:spacing w:after="0" w:line="240" w:lineRule="auto"/>
        <w:ind w:firstLine="1440"/>
        <w:jc w:val="both"/>
        <w:rPr>
          <w:rFonts w:ascii="Times New Roman" w:hAnsi="Times New Roman"/>
          <w:sz w:val="28"/>
          <w:szCs w:val="28"/>
          <w:lang w:val="ro-RO"/>
        </w:rPr>
      </w:pPr>
      <w:r w:rsidRPr="00385B8D">
        <w:rPr>
          <w:rFonts w:ascii="Times New Roman" w:hAnsi="Times New Roman"/>
          <w:sz w:val="28"/>
          <w:szCs w:val="28"/>
          <w:lang w:val="ro-RO"/>
        </w:rPr>
        <w:t>În aplicarea prevederilor art.491 alin.(1) din Codul fiscal,</w:t>
      </w:r>
      <w:r>
        <w:rPr>
          <w:rFonts w:ascii="Times New Roman" w:hAnsi="Times New Roman"/>
          <w:sz w:val="28"/>
          <w:szCs w:val="28"/>
          <w:lang w:val="ro-RO"/>
        </w:rPr>
        <w:t>in fapt  aratam ca  a  fost publicat pe  situl</w:t>
      </w:r>
      <w:r w:rsidRPr="00385B8D">
        <w:rPr>
          <w:rFonts w:ascii="Times New Roman" w:hAnsi="Times New Roman"/>
          <w:sz w:val="28"/>
          <w:szCs w:val="28"/>
          <w:lang w:val="ro-RO"/>
        </w:rPr>
        <w:t xml:space="preserve"> </w:t>
      </w:r>
      <w:r>
        <w:rPr>
          <w:rFonts w:ascii="Times New Roman" w:hAnsi="Times New Roman"/>
          <w:sz w:val="28"/>
          <w:szCs w:val="28"/>
          <w:lang w:val="ro-RO"/>
        </w:rPr>
        <w:t>Ministerului Dezvoltari regionale,Administratiei Publice si fonduri Europene, Comunicatului  de  presa al Institutului National de Statistica</w:t>
      </w:r>
      <w:r w:rsidRPr="00385B8D">
        <w:rPr>
          <w:rFonts w:ascii="Times New Roman" w:hAnsi="Times New Roman"/>
          <w:sz w:val="28"/>
          <w:szCs w:val="28"/>
          <w:lang w:val="ro-RO"/>
        </w:rPr>
        <w:t>” rata inflației</w:t>
      </w:r>
      <w:r>
        <w:rPr>
          <w:rFonts w:ascii="Times New Roman" w:hAnsi="Times New Roman"/>
          <w:sz w:val="28"/>
          <w:szCs w:val="28"/>
          <w:lang w:val="ro-RO"/>
        </w:rPr>
        <w:t xml:space="preserve"> pentru anul 2020</w:t>
      </w:r>
      <w:r w:rsidRPr="00385B8D">
        <w:rPr>
          <w:rFonts w:ascii="Times New Roman" w:hAnsi="Times New Roman"/>
          <w:sz w:val="28"/>
          <w:szCs w:val="28"/>
          <w:lang w:val="ro-RO"/>
        </w:rPr>
        <w:t xml:space="preserve"> de </w:t>
      </w:r>
      <w:r>
        <w:rPr>
          <w:rFonts w:ascii="Times New Roman" w:hAnsi="Times New Roman"/>
          <w:b/>
          <w:sz w:val="28"/>
          <w:szCs w:val="28"/>
          <w:lang w:val="ro-RO"/>
        </w:rPr>
        <w:t>2</w:t>
      </w:r>
      <w:r w:rsidRPr="00A64E24">
        <w:rPr>
          <w:rFonts w:ascii="Times New Roman" w:hAnsi="Times New Roman"/>
          <w:b/>
          <w:sz w:val="28"/>
          <w:szCs w:val="28"/>
          <w:lang w:val="ro-RO"/>
        </w:rPr>
        <w:t>,6%</w:t>
      </w:r>
      <w:r w:rsidRPr="00385B8D">
        <w:rPr>
          <w:rFonts w:ascii="Times New Roman" w:hAnsi="Times New Roman"/>
          <w:sz w:val="28"/>
          <w:szCs w:val="28"/>
          <w:lang w:val="ro-RO"/>
        </w:rPr>
        <w:t xml:space="preserve"> pentru indexarea de către consiliile locale a impozitelor și taxelor locale aferente anului 20</w:t>
      </w:r>
      <w:r>
        <w:rPr>
          <w:rFonts w:ascii="Times New Roman" w:hAnsi="Times New Roman"/>
          <w:sz w:val="28"/>
          <w:szCs w:val="28"/>
          <w:lang w:val="ro-RO"/>
        </w:rPr>
        <w:t>22.</w:t>
      </w:r>
      <w:bookmarkStart w:id="0" w:name="_GoBack"/>
      <w:bookmarkEnd w:id="0"/>
    </w:p>
    <w:p w:rsidR="00291AEC" w:rsidRPr="00385B8D" w:rsidRDefault="00291AEC" w:rsidP="00385B8D">
      <w:pPr>
        <w:spacing w:after="0" w:line="240" w:lineRule="auto"/>
        <w:ind w:firstLine="1440"/>
        <w:jc w:val="both"/>
        <w:rPr>
          <w:rFonts w:ascii="Times New Roman" w:hAnsi="Times New Roman"/>
          <w:sz w:val="28"/>
          <w:szCs w:val="28"/>
          <w:lang w:val="ro-RO"/>
        </w:rPr>
      </w:pPr>
      <w:r w:rsidRPr="00385B8D">
        <w:rPr>
          <w:rFonts w:ascii="Times New Roman" w:hAnsi="Times New Roman"/>
          <w:sz w:val="28"/>
          <w:szCs w:val="28"/>
          <w:lang w:val="ro-RO"/>
        </w:rPr>
        <w:t>Potrivit prevederilor art.493 alin.(7) din Codul fiscal, sunt supuse aceleiași indexări și sumele reprezentând limitele amenzilor contravenționale prevăzute la art. 493 alin. (3) şi (4)</w:t>
      </w:r>
    </w:p>
    <w:p w:rsidR="00291AEC" w:rsidRPr="00385B8D" w:rsidRDefault="00291AEC" w:rsidP="00385B8D">
      <w:pPr>
        <w:spacing w:after="0" w:line="240" w:lineRule="auto"/>
        <w:ind w:firstLine="1440"/>
        <w:jc w:val="both"/>
        <w:rPr>
          <w:rFonts w:ascii="Times New Roman" w:hAnsi="Times New Roman"/>
          <w:sz w:val="28"/>
          <w:szCs w:val="28"/>
          <w:lang w:val="ro-RO"/>
        </w:rPr>
      </w:pPr>
      <w:r w:rsidRPr="00385B8D">
        <w:rPr>
          <w:rFonts w:ascii="Times New Roman" w:hAnsi="Times New Roman"/>
          <w:sz w:val="28"/>
          <w:szCs w:val="28"/>
          <w:lang w:val="ro-RO"/>
        </w:rPr>
        <w:t>Nivelurile impozitelor şi taxelor locale, cu excepţia taxelor prevăzute la art.494 alin.(10) lit. b) şi c) din Codul fiscal, pot fi majorate de către consiliul local, prin aplicarea unor cote adiționale de cel mult 50% faţă de nivelurile maxime stabilite de acest act normativ, în funcţie de următoarele criterii: economice, sociale, geografice, precum şi de necesităţile bugetare locale.</w:t>
      </w:r>
    </w:p>
    <w:p w:rsidR="00291AEC" w:rsidRPr="00385B8D" w:rsidRDefault="00291AEC" w:rsidP="00385B8D">
      <w:pPr>
        <w:spacing w:after="0" w:line="240" w:lineRule="auto"/>
        <w:ind w:firstLine="1440"/>
        <w:jc w:val="both"/>
        <w:rPr>
          <w:rFonts w:ascii="Times New Roman" w:hAnsi="Times New Roman"/>
          <w:sz w:val="28"/>
          <w:szCs w:val="28"/>
          <w:lang w:val="ro-RO"/>
        </w:rPr>
      </w:pPr>
      <w:r w:rsidRPr="00385B8D">
        <w:rPr>
          <w:rFonts w:ascii="Times New Roman" w:hAnsi="Times New Roman"/>
          <w:sz w:val="28"/>
          <w:szCs w:val="28"/>
          <w:lang w:val="ro-RO"/>
        </w:rPr>
        <w:t>De asemenea, consiliul local poate acorda scutiri la plata unor impozite și taxe locale pentru anumiți contribuabili, precum și bonificații pentru plata cu anticipație a unor impozite și taxe locale, în conformitate cu prevederile Codului fiscal.</w:t>
      </w:r>
    </w:p>
    <w:p w:rsidR="00291AEC" w:rsidRPr="00385B8D" w:rsidRDefault="00291AEC" w:rsidP="00385B8D">
      <w:pPr>
        <w:spacing w:after="0" w:line="240" w:lineRule="auto"/>
        <w:ind w:firstLine="1440"/>
        <w:jc w:val="both"/>
        <w:rPr>
          <w:rFonts w:ascii="Times New Roman" w:hAnsi="Times New Roman"/>
          <w:sz w:val="28"/>
          <w:szCs w:val="28"/>
          <w:lang w:val="ro-RO"/>
        </w:rPr>
      </w:pPr>
      <w:r w:rsidRPr="00385B8D">
        <w:rPr>
          <w:rFonts w:ascii="Times New Roman" w:hAnsi="Times New Roman"/>
          <w:sz w:val="28"/>
          <w:szCs w:val="28"/>
          <w:lang w:val="ro-RO"/>
        </w:rPr>
        <w:t xml:space="preserve">În proiectul de hotărâre alăturat se propune acordarea bonificaţiei de </w:t>
      </w:r>
      <w:r>
        <w:rPr>
          <w:rFonts w:ascii="Times New Roman" w:hAnsi="Times New Roman"/>
          <w:sz w:val="28"/>
          <w:szCs w:val="28"/>
          <w:lang w:val="ro-RO"/>
        </w:rPr>
        <w:t>10</w:t>
      </w:r>
      <w:r w:rsidRPr="00385B8D">
        <w:rPr>
          <w:rFonts w:ascii="Times New Roman" w:hAnsi="Times New Roman"/>
          <w:sz w:val="28"/>
          <w:szCs w:val="28"/>
          <w:lang w:val="ro-RO"/>
        </w:rPr>
        <w:t xml:space="preserve"> % pentru plata cu anticipaţie, până la data de 31 martie 20</w:t>
      </w:r>
      <w:r>
        <w:rPr>
          <w:rFonts w:ascii="Times New Roman" w:hAnsi="Times New Roman"/>
          <w:sz w:val="28"/>
          <w:szCs w:val="28"/>
          <w:lang w:val="ro-RO"/>
        </w:rPr>
        <w:t>20</w:t>
      </w:r>
      <w:r w:rsidRPr="00385B8D">
        <w:rPr>
          <w:rFonts w:ascii="Times New Roman" w:hAnsi="Times New Roman"/>
          <w:sz w:val="28"/>
          <w:szCs w:val="28"/>
          <w:lang w:val="ro-RO"/>
        </w:rPr>
        <w:t xml:space="preserve"> inclusiv, a impozitului pe clădiri, a impozitului pe teren şi a impozitului pe mijloacele de transport, datorate pentru întregul an de către contribuabili.</w:t>
      </w:r>
    </w:p>
    <w:p w:rsidR="00291AEC" w:rsidRPr="00385B8D" w:rsidRDefault="00291AEC" w:rsidP="00385B8D">
      <w:pPr>
        <w:spacing w:after="0" w:line="240" w:lineRule="auto"/>
        <w:ind w:firstLine="1440"/>
        <w:jc w:val="both"/>
        <w:rPr>
          <w:rFonts w:ascii="Times New Roman" w:eastAsia="PMingLiU" w:hAnsi="Times New Roman"/>
          <w:sz w:val="28"/>
          <w:szCs w:val="28"/>
          <w:lang w:val="ro-RO" w:eastAsia="zh-TW"/>
        </w:rPr>
      </w:pPr>
      <w:r w:rsidRPr="00385B8D">
        <w:rPr>
          <w:rFonts w:ascii="Times New Roman" w:eastAsia="PMingLiU" w:hAnsi="Times New Roman"/>
          <w:sz w:val="28"/>
          <w:szCs w:val="28"/>
          <w:lang w:val="ro-RO" w:eastAsia="zh-TW"/>
        </w:rPr>
        <w:t>Nivelul impozitelor şi taxelor propuse în proiectul de hotărâre alăturat vor putea asigura funcţionarea instituţiilor administraţiei publice locale doar la un nivel minim.</w:t>
      </w:r>
    </w:p>
    <w:p w:rsidR="00291AEC" w:rsidRPr="00385B8D" w:rsidRDefault="00291AEC" w:rsidP="00385B8D">
      <w:pPr>
        <w:spacing w:after="0" w:line="240" w:lineRule="auto"/>
        <w:ind w:firstLine="1440"/>
        <w:jc w:val="both"/>
        <w:rPr>
          <w:rFonts w:ascii="Times New Roman" w:hAnsi="Times New Roman"/>
          <w:sz w:val="28"/>
          <w:szCs w:val="28"/>
          <w:lang w:val="ro-RO"/>
        </w:rPr>
      </w:pPr>
      <w:r w:rsidRPr="00385B8D">
        <w:rPr>
          <w:rFonts w:ascii="Times New Roman" w:hAnsi="Times New Roman"/>
          <w:sz w:val="28"/>
          <w:szCs w:val="28"/>
          <w:lang w:val="ro-RO"/>
        </w:rPr>
        <w:t>Prin urmare, pentru realizarea în condiţii optime a atribuţiilor legale ale autorităţilor administraţiei publice locale şi a instituţiilor subordonate Consiliului local,  se va impune echilibrarea bugetului local, în condiţiile stabilite de Legea nr.273/2006 privind finanţele publice locale.</w:t>
      </w:r>
    </w:p>
    <w:p w:rsidR="00291AEC" w:rsidRPr="00385B8D" w:rsidRDefault="00291AEC" w:rsidP="00385B8D">
      <w:pPr>
        <w:spacing w:after="0" w:line="240" w:lineRule="auto"/>
        <w:ind w:firstLine="1440"/>
        <w:jc w:val="both"/>
        <w:rPr>
          <w:rFonts w:ascii="Times New Roman" w:hAnsi="Times New Roman"/>
          <w:color w:val="000000"/>
          <w:sz w:val="28"/>
          <w:szCs w:val="28"/>
          <w:lang w:val="ro-RO" w:eastAsia="en-GB"/>
        </w:rPr>
      </w:pPr>
      <w:r w:rsidRPr="00385B8D">
        <w:rPr>
          <w:rFonts w:ascii="Times New Roman" w:hAnsi="Times New Roman"/>
          <w:color w:val="000000"/>
          <w:sz w:val="28"/>
          <w:szCs w:val="28"/>
          <w:lang w:val="ro-RO" w:eastAsia="en-GB"/>
        </w:rPr>
        <w:t xml:space="preserve">Având în vedere că hotărârea privind stabilirea nivelurilor impozitelor și taxelor locale are caracter normativ, regula impune respectarea prevederilor </w:t>
      </w:r>
      <w:r w:rsidRPr="00385B8D">
        <w:rPr>
          <w:rFonts w:ascii="Times New Roman" w:hAnsi="Times New Roman"/>
          <w:sz w:val="28"/>
          <w:szCs w:val="20"/>
          <w:lang w:val="ro-RO"/>
        </w:rPr>
        <w:t xml:space="preserve">art.7 alin.(1) și (2) din Legea nr.52/2003 privind transparența decizională în administrația publică, </w:t>
      </w:r>
      <w:r w:rsidRPr="00385B8D">
        <w:rPr>
          <w:rFonts w:ascii="Times New Roman" w:hAnsi="Times New Roman"/>
          <w:color w:val="000000"/>
          <w:sz w:val="28"/>
          <w:szCs w:val="28"/>
          <w:lang w:val="ro-RO" w:eastAsia="en-GB"/>
        </w:rPr>
        <w:t>republicată, cu modificările și completările ulterioare, respectiv aducerea la cunoștință publică prin publicarea cu cel puţin 30 de zile lucrătoare înainte de supunerea spre aprobare a unui anunț referitor la elaborarea proiectului de act normativ.</w:t>
      </w:r>
    </w:p>
    <w:p w:rsidR="00291AEC" w:rsidRPr="00385B8D" w:rsidRDefault="00291AEC" w:rsidP="00385B8D">
      <w:pPr>
        <w:spacing w:after="0" w:line="240" w:lineRule="auto"/>
        <w:ind w:firstLine="1440"/>
        <w:jc w:val="both"/>
        <w:rPr>
          <w:rFonts w:ascii="Times New Roman" w:hAnsi="Times New Roman"/>
          <w:color w:val="000000"/>
          <w:sz w:val="28"/>
          <w:szCs w:val="28"/>
          <w:lang w:val="ro-RO" w:eastAsia="en-GB"/>
        </w:rPr>
      </w:pPr>
      <w:r w:rsidRPr="00385B8D">
        <w:rPr>
          <w:rFonts w:ascii="Times New Roman" w:hAnsi="Times New Roman"/>
          <w:sz w:val="28"/>
          <w:szCs w:val="28"/>
          <w:lang w:val="ro-RO"/>
        </w:rPr>
        <w:t xml:space="preserve">Faţă de cele de mai sus, şi având în vedere că nivelul impozitelor şi taxelor propuse se încadrează în limitele prevăzute de lege, </w:t>
      </w:r>
      <w:r w:rsidRPr="00385B8D">
        <w:rPr>
          <w:rFonts w:ascii="Times New Roman" w:hAnsi="Times New Roman"/>
          <w:color w:val="000000"/>
          <w:sz w:val="28"/>
          <w:szCs w:val="28"/>
          <w:lang w:val="ro-RO" w:eastAsia="en-GB"/>
        </w:rPr>
        <w:t xml:space="preserve">propunem adoptarea proiectului de hotărâre în forma elaborată la inițiativa primarului comunei </w:t>
      </w:r>
      <w:r>
        <w:rPr>
          <w:rFonts w:ascii="Times New Roman" w:hAnsi="Times New Roman"/>
          <w:color w:val="000000"/>
          <w:sz w:val="28"/>
          <w:szCs w:val="28"/>
          <w:lang w:val="ro-RO" w:eastAsia="en-GB"/>
        </w:rPr>
        <w:t>Rimet</w:t>
      </w:r>
      <w:r w:rsidRPr="00385B8D">
        <w:rPr>
          <w:rFonts w:ascii="Times New Roman" w:hAnsi="Times New Roman"/>
          <w:color w:val="000000"/>
          <w:sz w:val="28"/>
          <w:szCs w:val="28"/>
          <w:lang w:val="ro-RO" w:eastAsia="en-GB"/>
        </w:rPr>
        <w:t>, împreună cu anexele, ca parte integrantă a acestui proiect de hotărâre.</w:t>
      </w:r>
    </w:p>
    <w:p w:rsidR="00291AEC" w:rsidRPr="00385B8D" w:rsidRDefault="00291AEC" w:rsidP="00385B8D">
      <w:pPr>
        <w:spacing w:after="0" w:line="240" w:lineRule="auto"/>
        <w:ind w:firstLine="1440"/>
        <w:jc w:val="both"/>
        <w:rPr>
          <w:rFonts w:ascii="Times New Roman" w:hAnsi="Times New Roman"/>
          <w:sz w:val="28"/>
          <w:szCs w:val="28"/>
          <w:lang w:val="ro-RO"/>
        </w:rPr>
      </w:pPr>
    </w:p>
    <w:p w:rsidR="00291AEC" w:rsidRPr="00385B8D" w:rsidRDefault="00291AEC" w:rsidP="00385B8D">
      <w:pPr>
        <w:spacing w:after="0" w:line="240" w:lineRule="auto"/>
        <w:ind w:firstLine="1440"/>
        <w:jc w:val="both"/>
        <w:rPr>
          <w:rFonts w:ascii="Times New Roman" w:hAnsi="Times New Roman"/>
          <w:sz w:val="28"/>
          <w:szCs w:val="28"/>
          <w:lang w:val="ro-RO"/>
        </w:rPr>
      </w:pPr>
    </w:p>
    <w:p w:rsidR="00291AEC" w:rsidRPr="00385B8D" w:rsidRDefault="00291AEC" w:rsidP="00385B8D">
      <w:pPr>
        <w:spacing w:after="0" w:line="240" w:lineRule="auto"/>
        <w:jc w:val="center"/>
        <w:rPr>
          <w:rFonts w:ascii="Times New Roman" w:hAnsi="Times New Roman"/>
          <w:b/>
          <w:sz w:val="24"/>
          <w:szCs w:val="24"/>
          <w:lang w:val="ro-RO"/>
        </w:rPr>
      </w:pPr>
      <w:r>
        <w:rPr>
          <w:rFonts w:ascii="Times New Roman" w:hAnsi="Times New Roman"/>
          <w:b/>
          <w:sz w:val="24"/>
          <w:szCs w:val="24"/>
          <w:lang w:val="ro-RO"/>
        </w:rPr>
        <w:t>REFERENT  SUPERIOR</w:t>
      </w:r>
      <w:r w:rsidRPr="00385B8D">
        <w:rPr>
          <w:rFonts w:ascii="Times New Roman" w:hAnsi="Times New Roman"/>
          <w:b/>
          <w:sz w:val="24"/>
          <w:szCs w:val="24"/>
          <w:lang w:val="ro-RO"/>
        </w:rPr>
        <w:t xml:space="preserve"> ,</w:t>
      </w:r>
    </w:p>
    <w:p w:rsidR="00291AEC" w:rsidRPr="00385B8D" w:rsidRDefault="00291AEC" w:rsidP="00385B8D">
      <w:pPr>
        <w:spacing w:after="0" w:line="240" w:lineRule="auto"/>
        <w:jc w:val="center"/>
        <w:rPr>
          <w:rFonts w:ascii="Times New Roman" w:hAnsi="Times New Roman"/>
          <w:b/>
          <w:sz w:val="20"/>
          <w:szCs w:val="20"/>
          <w:lang w:val="ro-RO"/>
        </w:rPr>
      </w:pPr>
    </w:p>
    <w:p w:rsidR="00291AEC" w:rsidRPr="00385B8D" w:rsidRDefault="00291AEC" w:rsidP="00385B8D">
      <w:pPr>
        <w:spacing w:after="0" w:line="240" w:lineRule="auto"/>
        <w:jc w:val="center"/>
        <w:rPr>
          <w:rFonts w:ascii="Times New Roman" w:hAnsi="Times New Roman"/>
          <w:b/>
          <w:i/>
          <w:sz w:val="24"/>
          <w:szCs w:val="24"/>
          <w:lang w:val="ro-RO"/>
        </w:rPr>
      </w:pPr>
      <w:r>
        <w:rPr>
          <w:rFonts w:ascii="Times New Roman" w:hAnsi="Times New Roman"/>
          <w:b/>
          <w:sz w:val="24"/>
          <w:szCs w:val="24"/>
          <w:lang w:val="ro-RO"/>
        </w:rPr>
        <w:t>BRADEA  TIBERIU</w:t>
      </w:r>
    </w:p>
    <w:p w:rsidR="00291AEC" w:rsidRDefault="00291AEC"/>
    <w:sectPr w:rsidR="00291AEC" w:rsidSect="00E53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MingLiU">
    <w:altName w:val="¡Ps2OcuAe"/>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5B8D"/>
    <w:rsid w:val="000B392B"/>
    <w:rsid w:val="00161BF0"/>
    <w:rsid w:val="00291AEC"/>
    <w:rsid w:val="00335C3C"/>
    <w:rsid w:val="00385B8D"/>
    <w:rsid w:val="004C7646"/>
    <w:rsid w:val="00533678"/>
    <w:rsid w:val="006A6BFC"/>
    <w:rsid w:val="007C011E"/>
    <w:rsid w:val="00A64E24"/>
    <w:rsid w:val="00B176E5"/>
    <w:rsid w:val="00CB66B3"/>
    <w:rsid w:val="00DA6F12"/>
    <w:rsid w:val="00DB7680"/>
    <w:rsid w:val="00E532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9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961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550</Words>
  <Characters>3141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user</dc:creator>
  <cp:keywords/>
  <dc:description/>
  <cp:lastModifiedBy>user</cp:lastModifiedBy>
  <cp:revision>2</cp:revision>
  <dcterms:created xsi:type="dcterms:W3CDTF">2021-10-12T12:04:00Z</dcterms:created>
  <dcterms:modified xsi:type="dcterms:W3CDTF">2021-10-12T12:04:00Z</dcterms:modified>
</cp:coreProperties>
</file>